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730" w:type="dxa"/>
        <w:tblLook w:val="04A0" w:firstRow="1" w:lastRow="0" w:firstColumn="1" w:lastColumn="0" w:noHBand="0" w:noVBand="1"/>
      </w:tblPr>
      <w:tblGrid>
        <w:gridCol w:w="1946"/>
        <w:gridCol w:w="2204"/>
        <w:gridCol w:w="2199"/>
        <w:gridCol w:w="2199"/>
        <w:gridCol w:w="2203"/>
        <w:gridCol w:w="2203"/>
        <w:gridCol w:w="2776"/>
      </w:tblGrid>
      <w:tr w:rsidR="009C616C" w:rsidRPr="009C616C" w14:paraId="4BBD2872" w14:textId="77777777" w:rsidTr="009C616C">
        <w:tc>
          <w:tcPr>
            <w:tcW w:w="15730" w:type="dxa"/>
            <w:gridSpan w:val="7"/>
            <w:shd w:val="clear" w:color="auto" w:fill="0F7EB4"/>
          </w:tcPr>
          <w:p w14:paraId="0E934DAB" w14:textId="1AC98F4E" w:rsidR="009C616C" w:rsidRPr="009C616C" w:rsidRDefault="009C616C" w:rsidP="009C616C">
            <w:pPr>
              <w:tabs>
                <w:tab w:val="left" w:pos="9580"/>
              </w:tabs>
              <w:spacing w:after="0" w:line="240" w:lineRule="auto"/>
              <w:ind w:right="-136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eastAsia="en-AU"/>
              </w:rPr>
            </w:pPr>
            <w:r w:rsidRPr="009C616C">
              <w:rPr>
                <w:rFonts w:cstheme="minorHAnsi"/>
                <w:b/>
                <w:color w:val="FFFFFF" w:themeColor="background1"/>
                <w:sz w:val="18"/>
                <w:szCs w:val="18"/>
                <w:lang w:eastAsia="en-AU"/>
              </w:rPr>
              <w:t xml:space="preserve">Belmont High School Unit 4 </w:t>
            </w:r>
            <w:r w:rsidRPr="009C616C">
              <w:rPr>
                <w:rFonts w:cstheme="minorHAnsi"/>
                <w:b/>
                <w:color w:val="FFFFFF" w:themeColor="background1"/>
                <w:sz w:val="18"/>
                <w:szCs w:val="18"/>
                <w:lang w:eastAsia="en-AU"/>
              </w:rPr>
              <w:t>English</w:t>
            </w:r>
          </w:p>
          <w:p w14:paraId="441744F4" w14:textId="77777777" w:rsidR="009C616C" w:rsidRPr="009C616C" w:rsidRDefault="009C616C" w:rsidP="009C616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C616C">
              <w:rPr>
                <w:rFonts w:cstheme="minorHAnsi"/>
                <w:b/>
                <w:color w:val="FFFFFF" w:themeColor="background1"/>
                <w:sz w:val="18"/>
                <w:szCs w:val="18"/>
                <w:lang w:eastAsia="en-AU"/>
              </w:rPr>
              <w:t>SCHOOL-ASSESSED COURSEWORK</w:t>
            </w:r>
          </w:p>
        </w:tc>
      </w:tr>
      <w:tr w:rsidR="009C616C" w:rsidRPr="009C616C" w14:paraId="5C2C4DE8" w14:textId="77777777" w:rsidTr="009C616C">
        <w:tc>
          <w:tcPr>
            <w:tcW w:w="15730" w:type="dxa"/>
            <w:gridSpan w:val="7"/>
            <w:tcBorders>
              <w:bottom w:val="single" w:sz="4" w:space="0" w:color="auto"/>
            </w:tcBorders>
          </w:tcPr>
          <w:p w14:paraId="32C57528" w14:textId="77777777" w:rsidR="009C616C" w:rsidRPr="009C616C" w:rsidRDefault="009C616C" w:rsidP="009C616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C616C">
              <w:rPr>
                <w:rFonts w:cstheme="minorHAnsi"/>
                <w:b/>
                <w:sz w:val="18"/>
                <w:szCs w:val="18"/>
              </w:rPr>
              <w:t>Performance descriptors</w:t>
            </w:r>
          </w:p>
        </w:tc>
      </w:tr>
      <w:tr w:rsidR="009C616C" w:rsidRPr="009C616C" w14:paraId="5B716A82" w14:textId="77777777" w:rsidTr="009C616C">
        <w:tc>
          <w:tcPr>
            <w:tcW w:w="1946" w:type="dxa"/>
            <w:vMerge w:val="restart"/>
            <w:vAlign w:val="center"/>
          </w:tcPr>
          <w:p w14:paraId="05BDC6CE" w14:textId="77777777" w:rsidR="009C616C" w:rsidRPr="009C616C" w:rsidRDefault="009C616C" w:rsidP="009C616C">
            <w:pPr>
              <w:spacing w:after="0" w:line="240" w:lineRule="auto"/>
              <w:rPr>
                <w:rFonts w:cstheme="minorHAnsi"/>
                <w:b/>
                <w:color w:val="221E1F"/>
                <w:sz w:val="18"/>
                <w:szCs w:val="18"/>
              </w:rPr>
            </w:pPr>
            <w:r w:rsidRPr="009C616C">
              <w:rPr>
                <w:rFonts w:cstheme="minorHAnsi"/>
                <w:b/>
                <w:color w:val="221E1F"/>
                <w:sz w:val="18"/>
                <w:szCs w:val="18"/>
              </w:rPr>
              <w:t>Unit 4</w:t>
            </w:r>
          </w:p>
          <w:p w14:paraId="5C80796B" w14:textId="77777777" w:rsidR="009C616C" w:rsidRPr="009C616C" w:rsidRDefault="009C616C" w:rsidP="009C616C">
            <w:pPr>
              <w:spacing w:after="0" w:line="240" w:lineRule="auto"/>
              <w:rPr>
                <w:rFonts w:cstheme="minorHAnsi"/>
                <w:b/>
                <w:color w:val="221E1F"/>
                <w:sz w:val="18"/>
                <w:szCs w:val="18"/>
              </w:rPr>
            </w:pPr>
            <w:r w:rsidRPr="009C616C">
              <w:rPr>
                <w:rFonts w:cstheme="minorHAnsi"/>
                <w:b/>
                <w:color w:val="221E1F"/>
                <w:sz w:val="18"/>
                <w:szCs w:val="18"/>
              </w:rPr>
              <w:t>Outcome 2 (Task 1)</w:t>
            </w:r>
          </w:p>
          <w:p w14:paraId="47BEDAA2" w14:textId="77777777" w:rsidR="009C616C" w:rsidRPr="009C616C" w:rsidRDefault="009C616C" w:rsidP="009C616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proofErr w:type="spellStart"/>
            <w:r w:rsidRPr="009C616C">
              <w:rPr>
                <w:rFonts w:cstheme="minorHAnsi"/>
                <w:sz w:val="18"/>
                <w:szCs w:val="18"/>
                <w:lang w:eastAsia="ar-SA"/>
              </w:rPr>
              <w:t>Analyse</w:t>
            </w:r>
            <w:proofErr w:type="spellEnd"/>
            <w:r w:rsidRPr="009C616C">
              <w:rPr>
                <w:rFonts w:cstheme="minorHAnsi"/>
                <w:sz w:val="18"/>
                <w:szCs w:val="18"/>
                <w:lang w:eastAsia="ar-SA"/>
              </w:rPr>
              <w:t xml:space="preserve"> the use of argument and language in persuasive texts, including one written text (print or digital) and one text in another mode (audio and/or audio visual).</w:t>
            </w:r>
          </w:p>
        </w:tc>
        <w:tc>
          <w:tcPr>
            <w:tcW w:w="13784" w:type="dxa"/>
            <w:gridSpan w:val="6"/>
            <w:shd w:val="clear" w:color="auto" w:fill="0F7EB4"/>
          </w:tcPr>
          <w:p w14:paraId="7FD64DBE" w14:textId="77777777" w:rsidR="009C616C" w:rsidRPr="009C616C" w:rsidRDefault="009C616C" w:rsidP="009C616C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  <w:lang w:val="en-AU"/>
              </w:rPr>
            </w:pPr>
            <w:r w:rsidRPr="009C616C">
              <w:rPr>
                <w:rFonts w:cstheme="minorHAnsi"/>
                <w:b/>
                <w:color w:val="FFFFFF" w:themeColor="background1"/>
                <w:sz w:val="18"/>
                <w:szCs w:val="18"/>
                <w:lang w:val="en-AU"/>
              </w:rPr>
              <w:t>DESCRIPTOR: typical performance in each range</w:t>
            </w:r>
          </w:p>
        </w:tc>
      </w:tr>
      <w:tr w:rsidR="009C616C" w:rsidRPr="009C616C" w14:paraId="178E15BA" w14:textId="77777777" w:rsidTr="009C616C">
        <w:trPr>
          <w:trHeight w:val="170"/>
        </w:trPr>
        <w:tc>
          <w:tcPr>
            <w:tcW w:w="1946" w:type="dxa"/>
            <w:vMerge/>
            <w:vAlign w:val="center"/>
          </w:tcPr>
          <w:p w14:paraId="290FDA10" w14:textId="77777777" w:rsidR="009C616C" w:rsidRPr="009C616C" w:rsidRDefault="009C616C" w:rsidP="009C616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04" w:type="dxa"/>
            <w:shd w:val="clear" w:color="auto" w:fill="auto"/>
          </w:tcPr>
          <w:p w14:paraId="602D73AC" w14:textId="77777777" w:rsidR="009C616C" w:rsidRPr="009C616C" w:rsidRDefault="009C616C" w:rsidP="009C616C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  <w:lang w:eastAsia="en-AU"/>
              </w:rPr>
            </w:pPr>
            <w:r w:rsidRPr="009C616C">
              <w:rPr>
                <w:rFonts w:cstheme="minorHAnsi"/>
                <w:b/>
                <w:bCs/>
                <w:sz w:val="18"/>
                <w:szCs w:val="18"/>
                <w:lang w:eastAsia="en-AU"/>
              </w:rPr>
              <w:t>Key skills</w:t>
            </w:r>
          </w:p>
        </w:tc>
        <w:tc>
          <w:tcPr>
            <w:tcW w:w="2199" w:type="dxa"/>
            <w:vAlign w:val="center"/>
          </w:tcPr>
          <w:p w14:paraId="4ABB81D9" w14:textId="40124B1C" w:rsidR="009C616C" w:rsidRPr="009C616C" w:rsidRDefault="009C616C" w:rsidP="009C616C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  <w:lang w:eastAsia="en-AU"/>
              </w:rPr>
            </w:pPr>
            <w:r w:rsidRPr="009C616C">
              <w:rPr>
                <w:rFonts w:cstheme="minorHAnsi"/>
                <w:b/>
                <w:bCs/>
                <w:sz w:val="18"/>
                <w:szCs w:val="18"/>
                <w:lang w:eastAsia="en-AU"/>
              </w:rPr>
              <w:t>Very low</w:t>
            </w:r>
            <w:r w:rsidRPr="009C616C">
              <w:rPr>
                <w:rFonts w:cstheme="minorHAnsi"/>
                <w:b/>
                <w:bCs/>
                <w:sz w:val="18"/>
                <w:szCs w:val="18"/>
                <w:lang w:eastAsia="en-AU"/>
              </w:rPr>
              <w:t xml:space="preserve"> 1-8</w:t>
            </w:r>
          </w:p>
        </w:tc>
        <w:tc>
          <w:tcPr>
            <w:tcW w:w="2199" w:type="dxa"/>
            <w:vAlign w:val="center"/>
          </w:tcPr>
          <w:p w14:paraId="16713F0C" w14:textId="4BFC4247" w:rsidR="009C616C" w:rsidRPr="009C616C" w:rsidRDefault="009C616C" w:rsidP="009C616C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C616C">
              <w:rPr>
                <w:rFonts w:cstheme="minorHAnsi"/>
                <w:b/>
                <w:bCs/>
                <w:sz w:val="18"/>
                <w:szCs w:val="18"/>
              </w:rPr>
              <w:t>Low</w:t>
            </w:r>
            <w:r w:rsidRPr="009C616C">
              <w:rPr>
                <w:rFonts w:cstheme="minorHAnsi"/>
                <w:b/>
                <w:bCs/>
                <w:sz w:val="18"/>
                <w:szCs w:val="18"/>
              </w:rPr>
              <w:t xml:space="preserve"> 9-16</w:t>
            </w:r>
          </w:p>
        </w:tc>
        <w:tc>
          <w:tcPr>
            <w:tcW w:w="2203" w:type="dxa"/>
            <w:vAlign w:val="center"/>
          </w:tcPr>
          <w:p w14:paraId="118C6157" w14:textId="0E5E452D" w:rsidR="009C616C" w:rsidRPr="009C616C" w:rsidRDefault="009C616C" w:rsidP="009C616C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C616C">
              <w:rPr>
                <w:rFonts w:cstheme="minorHAnsi"/>
                <w:b/>
                <w:sz w:val="18"/>
                <w:szCs w:val="18"/>
              </w:rPr>
              <w:t>Medium</w:t>
            </w:r>
            <w:r w:rsidRPr="009C616C">
              <w:rPr>
                <w:rFonts w:cstheme="minorHAnsi"/>
                <w:b/>
                <w:sz w:val="18"/>
                <w:szCs w:val="18"/>
              </w:rPr>
              <w:t xml:space="preserve"> 17-24</w:t>
            </w:r>
          </w:p>
        </w:tc>
        <w:tc>
          <w:tcPr>
            <w:tcW w:w="2203" w:type="dxa"/>
            <w:vAlign w:val="center"/>
          </w:tcPr>
          <w:p w14:paraId="517F0000" w14:textId="1E250782" w:rsidR="009C616C" w:rsidRPr="009C616C" w:rsidRDefault="009C616C" w:rsidP="009C616C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C616C">
              <w:rPr>
                <w:rFonts w:cstheme="minorHAnsi"/>
                <w:b/>
                <w:sz w:val="18"/>
                <w:szCs w:val="18"/>
              </w:rPr>
              <w:t>High</w:t>
            </w:r>
            <w:r w:rsidRPr="009C616C">
              <w:rPr>
                <w:rFonts w:cstheme="minorHAnsi"/>
                <w:b/>
                <w:sz w:val="18"/>
                <w:szCs w:val="18"/>
              </w:rPr>
              <w:t xml:space="preserve"> 25-32</w:t>
            </w:r>
          </w:p>
        </w:tc>
        <w:tc>
          <w:tcPr>
            <w:tcW w:w="2776" w:type="dxa"/>
            <w:vAlign w:val="center"/>
          </w:tcPr>
          <w:p w14:paraId="102FDF16" w14:textId="4F88BB8F" w:rsidR="009C616C" w:rsidRPr="009C616C" w:rsidRDefault="009C616C" w:rsidP="009C616C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C616C">
              <w:rPr>
                <w:rFonts w:cstheme="minorHAnsi"/>
                <w:b/>
                <w:sz w:val="18"/>
                <w:szCs w:val="18"/>
              </w:rPr>
              <w:t>Very high</w:t>
            </w:r>
            <w:r w:rsidRPr="009C616C">
              <w:rPr>
                <w:rFonts w:cstheme="minorHAnsi"/>
                <w:b/>
                <w:sz w:val="18"/>
                <w:szCs w:val="18"/>
              </w:rPr>
              <w:t xml:space="preserve"> 33-40</w:t>
            </w:r>
          </w:p>
        </w:tc>
      </w:tr>
      <w:tr w:rsidR="009C616C" w:rsidRPr="009C616C" w14:paraId="57B0ADD3" w14:textId="77777777" w:rsidTr="009C616C">
        <w:trPr>
          <w:cantSplit/>
          <w:trHeight w:val="737"/>
        </w:trPr>
        <w:tc>
          <w:tcPr>
            <w:tcW w:w="1946" w:type="dxa"/>
            <w:vMerge/>
            <w:vAlign w:val="center"/>
          </w:tcPr>
          <w:p w14:paraId="40E44607" w14:textId="77777777" w:rsidR="009C616C" w:rsidRPr="009C616C" w:rsidRDefault="009C616C" w:rsidP="009C616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04" w:type="dxa"/>
            <w:shd w:val="clear" w:color="auto" w:fill="auto"/>
          </w:tcPr>
          <w:p w14:paraId="105F62FF" w14:textId="77777777" w:rsidR="009C616C" w:rsidRPr="009C616C" w:rsidRDefault="009C616C" w:rsidP="009C616C">
            <w:pPr>
              <w:pStyle w:val="VCAAtablecondensedbullet"/>
              <w:numPr>
                <w:ilvl w:val="0"/>
                <w:numId w:val="0"/>
              </w:numPr>
              <w:tabs>
                <w:tab w:val="clear" w:pos="425"/>
              </w:tabs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C616C">
              <w:rPr>
                <w:rFonts w:asciiTheme="minorHAnsi" w:hAnsiTheme="minorHAnsi" w:cstheme="minorHAnsi"/>
                <w:sz w:val="18"/>
                <w:szCs w:val="18"/>
              </w:rPr>
              <w:t>Identify and analyse intent and logical development of an argument.</w:t>
            </w:r>
          </w:p>
        </w:tc>
        <w:tc>
          <w:tcPr>
            <w:tcW w:w="2199" w:type="dxa"/>
          </w:tcPr>
          <w:p w14:paraId="36658C0E" w14:textId="77777777" w:rsidR="009C616C" w:rsidRPr="009C616C" w:rsidRDefault="009C616C" w:rsidP="009C616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C616C">
              <w:rPr>
                <w:rFonts w:cstheme="minorHAnsi"/>
                <w:sz w:val="18"/>
                <w:szCs w:val="18"/>
              </w:rPr>
              <w:t>Paraphrases arguments.</w:t>
            </w:r>
          </w:p>
        </w:tc>
        <w:tc>
          <w:tcPr>
            <w:tcW w:w="2199" w:type="dxa"/>
          </w:tcPr>
          <w:p w14:paraId="70BAD07F" w14:textId="77777777" w:rsidR="009C616C" w:rsidRPr="009C616C" w:rsidRDefault="009C616C" w:rsidP="009C616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proofErr w:type="spellStart"/>
            <w:r w:rsidRPr="009C616C">
              <w:rPr>
                <w:rFonts w:cstheme="minorHAnsi"/>
                <w:sz w:val="18"/>
                <w:szCs w:val="18"/>
              </w:rPr>
              <w:t>Summarises</w:t>
            </w:r>
            <w:proofErr w:type="spellEnd"/>
            <w:r w:rsidRPr="009C616C">
              <w:rPr>
                <w:rFonts w:cstheme="minorHAnsi"/>
                <w:sz w:val="18"/>
                <w:szCs w:val="18"/>
              </w:rPr>
              <w:t xml:space="preserve"> arguments with reference to sequence.</w:t>
            </w:r>
          </w:p>
        </w:tc>
        <w:tc>
          <w:tcPr>
            <w:tcW w:w="2203" w:type="dxa"/>
          </w:tcPr>
          <w:p w14:paraId="49DD890E" w14:textId="77777777" w:rsidR="009C616C" w:rsidRPr="009C616C" w:rsidRDefault="009C616C" w:rsidP="009C616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C616C">
              <w:rPr>
                <w:rFonts w:cstheme="minorHAnsi"/>
                <w:sz w:val="18"/>
                <w:szCs w:val="18"/>
              </w:rPr>
              <w:t>Explores the sequence of arguments with reference to logic.</w:t>
            </w:r>
          </w:p>
        </w:tc>
        <w:tc>
          <w:tcPr>
            <w:tcW w:w="2203" w:type="dxa"/>
          </w:tcPr>
          <w:p w14:paraId="52DFADBC" w14:textId="77777777" w:rsidR="009C616C" w:rsidRPr="009C616C" w:rsidRDefault="009C616C" w:rsidP="009C616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C616C">
              <w:rPr>
                <w:rFonts w:cstheme="minorHAnsi"/>
                <w:sz w:val="18"/>
                <w:szCs w:val="18"/>
              </w:rPr>
              <w:t>Explains in detail how sequenced arguments create a logic in the text.</w:t>
            </w:r>
          </w:p>
        </w:tc>
        <w:tc>
          <w:tcPr>
            <w:tcW w:w="2776" w:type="dxa"/>
          </w:tcPr>
          <w:p w14:paraId="6A18E25B" w14:textId="77777777" w:rsidR="009C616C" w:rsidRPr="009C616C" w:rsidRDefault="009C616C" w:rsidP="009C616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C616C">
              <w:rPr>
                <w:rFonts w:cstheme="minorHAnsi"/>
                <w:sz w:val="18"/>
                <w:szCs w:val="18"/>
              </w:rPr>
              <w:t>Examines critically how the author guides an audience by use of strategic sequencing of argument.</w:t>
            </w:r>
          </w:p>
        </w:tc>
      </w:tr>
      <w:tr w:rsidR="009C616C" w:rsidRPr="009C616C" w14:paraId="0FAE17F3" w14:textId="77777777" w:rsidTr="009C616C">
        <w:trPr>
          <w:cantSplit/>
          <w:trHeight w:val="1134"/>
        </w:trPr>
        <w:tc>
          <w:tcPr>
            <w:tcW w:w="1946" w:type="dxa"/>
            <w:vMerge/>
            <w:vAlign w:val="center"/>
          </w:tcPr>
          <w:p w14:paraId="30095FA7" w14:textId="77777777" w:rsidR="009C616C" w:rsidRPr="009C616C" w:rsidRDefault="009C616C" w:rsidP="009C616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04" w:type="dxa"/>
            <w:shd w:val="clear" w:color="auto" w:fill="auto"/>
          </w:tcPr>
          <w:p w14:paraId="72A76800" w14:textId="77777777" w:rsidR="009C616C" w:rsidRPr="009C616C" w:rsidRDefault="009C616C" w:rsidP="009C616C">
            <w:pPr>
              <w:spacing w:after="0" w:line="240" w:lineRule="auto"/>
              <w:ind w:right="113"/>
              <w:rPr>
                <w:rFonts w:cstheme="minorHAnsi"/>
                <w:sz w:val="18"/>
                <w:szCs w:val="18"/>
              </w:rPr>
            </w:pPr>
            <w:r w:rsidRPr="009C616C">
              <w:rPr>
                <w:rFonts w:cstheme="minorHAnsi"/>
                <w:sz w:val="18"/>
                <w:szCs w:val="18"/>
              </w:rPr>
              <w:t xml:space="preserve">Identify and </w:t>
            </w:r>
            <w:proofErr w:type="spellStart"/>
            <w:r w:rsidRPr="009C616C">
              <w:rPr>
                <w:rFonts w:cstheme="minorHAnsi"/>
                <w:sz w:val="18"/>
                <w:szCs w:val="18"/>
              </w:rPr>
              <w:t>analyse</w:t>
            </w:r>
            <w:proofErr w:type="spellEnd"/>
            <w:r w:rsidRPr="009C616C">
              <w:rPr>
                <w:rFonts w:cstheme="minorHAnsi"/>
                <w:sz w:val="18"/>
                <w:szCs w:val="18"/>
              </w:rPr>
              <w:t xml:space="preserve"> the language used by the author to position or persuade an audience to share a point of view, and the way in which arguments and language complement one another and interact to position the intended audience.</w:t>
            </w:r>
          </w:p>
        </w:tc>
        <w:tc>
          <w:tcPr>
            <w:tcW w:w="2199" w:type="dxa"/>
          </w:tcPr>
          <w:p w14:paraId="1B4DBC24" w14:textId="77777777" w:rsidR="009C616C" w:rsidRPr="009C616C" w:rsidRDefault="009C616C" w:rsidP="009C616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C616C">
              <w:rPr>
                <w:rFonts w:cstheme="minorHAnsi"/>
                <w:sz w:val="18"/>
                <w:szCs w:val="18"/>
              </w:rPr>
              <w:t>Refers to language features and/or vocabulary in response.</w:t>
            </w:r>
          </w:p>
        </w:tc>
        <w:tc>
          <w:tcPr>
            <w:tcW w:w="2199" w:type="dxa"/>
          </w:tcPr>
          <w:p w14:paraId="10377989" w14:textId="77777777" w:rsidR="009C616C" w:rsidRPr="009C616C" w:rsidRDefault="009C616C" w:rsidP="009C616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C616C">
              <w:rPr>
                <w:rFonts w:cstheme="minorHAnsi"/>
                <w:sz w:val="18"/>
                <w:szCs w:val="18"/>
              </w:rPr>
              <w:t xml:space="preserve">Describes techniques associated with language features and/or vocabulary choices </w:t>
            </w:r>
            <w:proofErr w:type="gramStart"/>
            <w:r w:rsidRPr="009C616C">
              <w:rPr>
                <w:rFonts w:cstheme="minorHAnsi"/>
                <w:sz w:val="18"/>
                <w:szCs w:val="18"/>
              </w:rPr>
              <w:t>in reference to</w:t>
            </w:r>
            <w:proofErr w:type="gramEnd"/>
            <w:r w:rsidRPr="009C616C">
              <w:rPr>
                <w:rFonts w:cstheme="minorHAnsi"/>
                <w:sz w:val="18"/>
                <w:szCs w:val="18"/>
              </w:rPr>
              <w:t xml:space="preserve"> how an audience is positioned.</w:t>
            </w:r>
          </w:p>
        </w:tc>
        <w:tc>
          <w:tcPr>
            <w:tcW w:w="2203" w:type="dxa"/>
          </w:tcPr>
          <w:p w14:paraId="3B3E490C" w14:textId="77777777" w:rsidR="009C616C" w:rsidRPr="009C616C" w:rsidRDefault="009C616C" w:rsidP="009C616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C616C">
              <w:rPr>
                <w:rFonts w:cstheme="minorHAnsi"/>
                <w:sz w:val="18"/>
                <w:szCs w:val="18"/>
              </w:rPr>
              <w:t xml:space="preserve">Explores examples of language features and vocabulary with reference to persuasive intent and the positioning of the audience. </w:t>
            </w:r>
          </w:p>
        </w:tc>
        <w:tc>
          <w:tcPr>
            <w:tcW w:w="2203" w:type="dxa"/>
          </w:tcPr>
          <w:p w14:paraId="5F8527C0" w14:textId="77777777" w:rsidR="009C616C" w:rsidRPr="009C616C" w:rsidRDefault="009C616C" w:rsidP="009C616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C616C">
              <w:rPr>
                <w:rFonts w:cstheme="minorHAnsi"/>
                <w:sz w:val="18"/>
                <w:szCs w:val="18"/>
              </w:rPr>
              <w:t>Explains patterns of language features and vocabulary and explores how the author is using these to position the intended audience.</w:t>
            </w:r>
          </w:p>
        </w:tc>
        <w:tc>
          <w:tcPr>
            <w:tcW w:w="2776" w:type="dxa"/>
          </w:tcPr>
          <w:p w14:paraId="1252DB27" w14:textId="77777777" w:rsidR="009C616C" w:rsidRPr="009C616C" w:rsidRDefault="009C616C" w:rsidP="009C616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C616C">
              <w:rPr>
                <w:rFonts w:cstheme="minorHAnsi"/>
                <w:sz w:val="18"/>
                <w:szCs w:val="18"/>
              </w:rPr>
              <w:t>Examines subtle connections between language features and vocabulary and the implications of these features in relation to persuading the intended audience.</w:t>
            </w:r>
          </w:p>
        </w:tc>
      </w:tr>
      <w:tr w:rsidR="009C616C" w:rsidRPr="009C616C" w14:paraId="02516D7A" w14:textId="77777777" w:rsidTr="009C616C">
        <w:trPr>
          <w:cantSplit/>
          <w:trHeight w:val="1134"/>
        </w:trPr>
        <w:tc>
          <w:tcPr>
            <w:tcW w:w="1946" w:type="dxa"/>
            <w:vMerge/>
            <w:vAlign w:val="center"/>
          </w:tcPr>
          <w:p w14:paraId="24D98245" w14:textId="77777777" w:rsidR="009C616C" w:rsidRPr="009C616C" w:rsidRDefault="009C616C" w:rsidP="009C616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04" w:type="dxa"/>
            <w:shd w:val="clear" w:color="auto" w:fill="auto"/>
          </w:tcPr>
          <w:p w14:paraId="4767655C" w14:textId="77777777" w:rsidR="009C616C" w:rsidRPr="009C616C" w:rsidRDefault="009C616C" w:rsidP="009C616C">
            <w:pPr>
              <w:pStyle w:val="VCAAbullet"/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  <w:r w:rsidRPr="009C616C">
              <w:rPr>
                <w:rFonts w:asciiTheme="minorHAnsi" w:hAnsiTheme="minorHAnsi" w:cstheme="minorHAnsi"/>
                <w:sz w:val="18"/>
                <w:szCs w:val="18"/>
              </w:rPr>
              <w:t xml:space="preserve">Identify and analyse the features of print, and audio and/or </w:t>
            </w:r>
            <w:proofErr w:type="gramStart"/>
            <w:r w:rsidRPr="009C616C">
              <w:rPr>
                <w:rFonts w:asciiTheme="minorHAnsi" w:hAnsiTheme="minorHAnsi" w:cstheme="minorHAnsi"/>
                <w:sz w:val="18"/>
                <w:szCs w:val="18"/>
              </w:rPr>
              <w:t>audio visual</w:t>
            </w:r>
            <w:proofErr w:type="gramEnd"/>
            <w:r w:rsidRPr="009C616C">
              <w:rPr>
                <w:rFonts w:asciiTheme="minorHAnsi" w:hAnsiTheme="minorHAnsi" w:cstheme="minorHAnsi"/>
                <w:sz w:val="18"/>
                <w:szCs w:val="18"/>
              </w:rPr>
              <w:t xml:space="preserve"> texts.</w:t>
            </w:r>
          </w:p>
        </w:tc>
        <w:tc>
          <w:tcPr>
            <w:tcW w:w="2199" w:type="dxa"/>
          </w:tcPr>
          <w:p w14:paraId="64A86185" w14:textId="77777777" w:rsidR="009C616C" w:rsidRPr="009C616C" w:rsidRDefault="009C616C" w:rsidP="009C616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C616C">
              <w:rPr>
                <w:rFonts w:cstheme="minorHAnsi"/>
                <w:sz w:val="18"/>
                <w:szCs w:val="18"/>
              </w:rPr>
              <w:t>Refers to visual / audio features in response.</w:t>
            </w:r>
          </w:p>
        </w:tc>
        <w:tc>
          <w:tcPr>
            <w:tcW w:w="2199" w:type="dxa"/>
          </w:tcPr>
          <w:p w14:paraId="2AB2291F" w14:textId="77777777" w:rsidR="009C616C" w:rsidRPr="009C616C" w:rsidRDefault="009C616C" w:rsidP="009C616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C616C">
              <w:rPr>
                <w:rFonts w:cstheme="minorHAnsi"/>
                <w:sz w:val="18"/>
                <w:szCs w:val="18"/>
              </w:rPr>
              <w:t xml:space="preserve">Describes techniques </w:t>
            </w:r>
            <w:proofErr w:type="gramStart"/>
            <w:r w:rsidRPr="009C616C">
              <w:rPr>
                <w:rFonts w:cstheme="minorHAnsi"/>
                <w:sz w:val="18"/>
                <w:szCs w:val="18"/>
              </w:rPr>
              <w:t>associated</w:t>
            </w:r>
            <w:proofErr w:type="gramEnd"/>
            <w:r w:rsidRPr="009C616C">
              <w:rPr>
                <w:rFonts w:cstheme="minorHAnsi"/>
                <w:sz w:val="18"/>
                <w:szCs w:val="18"/>
              </w:rPr>
              <w:t xml:space="preserve"> visual and/or audio features. </w:t>
            </w:r>
          </w:p>
        </w:tc>
        <w:tc>
          <w:tcPr>
            <w:tcW w:w="2203" w:type="dxa"/>
          </w:tcPr>
          <w:p w14:paraId="0FE06321" w14:textId="77777777" w:rsidR="009C616C" w:rsidRPr="009C616C" w:rsidRDefault="009C616C" w:rsidP="009C616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C616C">
              <w:rPr>
                <w:rFonts w:cstheme="minorHAnsi"/>
                <w:sz w:val="18"/>
                <w:szCs w:val="18"/>
              </w:rPr>
              <w:t>Explores examples of visual and/or audio features with reference to persuasive intent.</w:t>
            </w:r>
          </w:p>
        </w:tc>
        <w:tc>
          <w:tcPr>
            <w:tcW w:w="2203" w:type="dxa"/>
          </w:tcPr>
          <w:p w14:paraId="2E47ACCD" w14:textId="77777777" w:rsidR="009C616C" w:rsidRPr="009C616C" w:rsidRDefault="009C616C" w:rsidP="009C616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C616C">
              <w:rPr>
                <w:rFonts w:cstheme="minorHAnsi"/>
                <w:sz w:val="18"/>
                <w:szCs w:val="18"/>
              </w:rPr>
              <w:t>Explains patterns of visual and/or audio features and considers how the author is using these for persuasive effect.t</w:t>
            </w:r>
          </w:p>
        </w:tc>
        <w:tc>
          <w:tcPr>
            <w:tcW w:w="2776" w:type="dxa"/>
          </w:tcPr>
          <w:p w14:paraId="0EBCF6B6" w14:textId="77777777" w:rsidR="009C616C" w:rsidRPr="009C616C" w:rsidRDefault="009C616C" w:rsidP="009C616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C616C">
              <w:rPr>
                <w:rFonts w:cstheme="minorHAnsi"/>
                <w:sz w:val="18"/>
                <w:szCs w:val="18"/>
              </w:rPr>
              <w:t>Examines subtle connections between visual and/or audio features and the implications of these features in relation to persuading the intended audience.</w:t>
            </w:r>
          </w:p>
        </w:tc>
      </w:tr>
      <w:tr w:rsidR="009C616C" w:rsidRPr="009C616C" w14:paraId="32025B36" w14:textId="77777777" w:rsidTr="009C616C">
        <w:trPr>
          <w:cantSplit/>
          <w:trHeight w:val="1134"/>
        </w:trPr>
        <w:tc>
          <w:tcPr>
            <w:tcW w:w="1946" w:type="dxa"/>
            <w:vMerge/>
            <w:vAlign w:val="center"/>
          </w:tcPr>
          <w:p w14:paraId="08E18E22" w14:textId="77777777" w:rsidR="009C616C" w:rsidRPr="009C616C" w:rsidRDefault="009C616C" w:rsidP="009C616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04" w:type="dxa"/>
            <w:shd w:val="clear" w:color="auto" w:fill="auto"/>
          </w:tcPr>
          <w:p w14:paraId="5016534B" w14:textId="77777777" w:rsidR="009C616C" w:rsidRPr="009C616C" w:rsidRDefault="009C616C" w:rsidP="009C616C">
            <w:pPr>
              <w:spacing w:after="0" w:line="240" w:lineRule="auto"/>
              <w:ind w:right="113"/>
              <w:rPr>
                <w:rFonts w:cstheme="minorHAnsi"/>
                <w:sz w:val="18"/>
                <w:szCs w:val="18"/>
              </w:rPr>
            </w:pPr>
            <w:r w:rsidRPr="009C616C">
              <w:rPr>
                <w:rFonts w:cstheme="minorHAnsi"/>
                <w:sz w:val="18"/>
                <w:szCs w:val="18"/>
              </w:rPr>
              <w:t xml:space="preserve">Identify and </w:t>
            </w:r>
            <w:proofErr w:type="spellStart"/>
            <w:r w:rsidRPr="009C616C">
              <w:rPr>
                <w:rFonts w:cstheme="minorHAnsi"/>
                <w:sz w:val="18"/>
                <w:szCs w:val="18"/>
              </w:rPr>
              <w:t>analyse</w:t>
            </w:r>
            <w:proofErr w:type="spellEnd"/>
            <w:r w:rsidRPr="009C616C">
              <w:rPr>
                <w:rFonts w:cstheme="minorHAnsi"/>
                <w:sz w:val="18"/>
                <w:szCs w:val="18"/>
              </w:rPr>
              <w:t xml:space="preserve"> the different evidence the author uses to support arguments.</w:t>
            </w:r>
          </w:p>
        </w:tc>
        <w:tc>
          <w:tcPr>
            <w:tcW w:w="2199" w:type="dxa"/>
          </w:tcPr>
          <w:p w14:paraId="038643C6" w14:textId="77777777" w:rsidR="009C616C" w:rsidRPr="009C616C" w:rsidRDefault="009C616C" w:rsidP="009C616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C616C">
              <w:rPr>
                <w:rFonts w:cstheme="minorHAnsi"/>
                <w:sz w:val="18"/>
                <w:szCs w:val="18"/>
              </w:rPr>
              <w:t>Refers to text in response.</w:t>
            </w:r>
          </w:p>
        </w:tc>
        <w:tc>
          <w:tcPr>
            <w:tcW w:w="2199" w:type="dxa"/>
          </w:tcPr>
          <w:p w14:paraId="50E2BDD3" w14:textId="77777777" w:rsidR="009C616C" w:rsidRPr="009C616C" w:rsidRDefault="009C616C" w:rsidP="009C616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C616C">
              <w:rPr>
                <w:rFonts w:cstheme="minorHAnsi"/>
                <w:sz w:val="18"/>
                <w:szCs w:val="18"/>
              </w:rPr>
              <w:t>Presents textual evidence in each paragraph with reference to persuasive intent.</w:t>
            </w:r>
          </w:p>
        </w:tc>
        <w:tc>
          <w:tcPr>
            <w:tcW w:w="2203" w:type="dxa"/>
          </w:tcPr>
          <w:p w14:paraId="259918A7" w14:textId="77777777" w:rsidR="009C616C" w:rsidRPr="009C616C" w:rsidRDefault="009C616C" w:rsidP="009C616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C616C">
              <w:rPr>
                <w:rFonts w:cstheme="minorHAnsi"/>
                <w:sz w:val="18"/>
                <w:szCs w:val="18"/>
              </w:rPr>
              <w:t>Embeds textual evidence that relates to an appropriate exploration of persuasive intent.</w:t>
            </w:r>
          </w:p>
        </w:tc>
        <w:tc>
          <w:tcPr>
            <w:tcW w:w="2203" w:type="dxa"/>
          </w:tcPr>
          <w:p w14:paraId="7D537FB4" w14:textId="77777777" w:rsidR="009C616C" w:rsidRPr="009C616C" w:rsidRDefault="009C616C" w:rsidP="009C616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C616C">
              <w:rPr>
                <w:rFonts w:cstheme="minorHAnsi"/>
                <w:sz w:val="18"/>
                <w:szCs w:val="18"/>
              </w:rPr>
              <w:t>Explores key moments in the text to explain the persuasive intent of the text.</w:t>
            </w:r>
          </w:p>
        </w:tc>
        <w:tc>
          <w:tcPr>
            <w:tcW w:w="2776" w:type="dxa"/>
          </w:tcPr>
          <w:p w14:paraId="07570FB6" w14:textId="77777777" w:rsidR="009C616C" w:rsidRPr="009C616C" w:rsidRDefault="009C616C" w:rsidP="009C616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C616C">
              <w:rPr>
                <w:rFonts w:cstheme="minorHAnsi"/>
                <w:sz w:val="18"/>
                <w:szCs w:val="18"/>
              </w:rPr>
              <w:t>Examines pivotal aspects of the text and the role of inference and its relation to persuasive intent.</w:t>
            </w:r>
          </w:p>
        </w:tc>
      </w:tr>
      <w:tr w:rsidR="009C616C" w:rsidRPr="009C616C" w14:paraId="01D90EED" w14:textId="77777777" w:rsidTr="009C616C">
        <w:trPr>
          <w:cantSplit/>
          <w:trHeight w:val="1134"/>
        </w:trPr>
        <w:tc>
          <w:tcPr>
            <w:tcW w:w="1946" w:type="dxa"/>
            <w:vMerge/>
            <w:vAlign w:val="center"/>
          </w:tcPr>
          <w:p w14:paraId="1F71F2E6" w14:textId="77777777" w:rsidR="009C616C" w:rsidRPr="009C616C" w:rsidRDefault="009C616C" w:rsidP="009C616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04" w:type="dxa"/>
            <w:shd w:val="clear" w:color="auto" w:fill="auto"/>
          </w:tcPr>
          <w:p w14:paraId="71801195" w14:textId="77777777" w:rsidR="009C616C" w:rsidRPr="009C616C" w:rsidRDefault="009C616C" w:rsidP="009C616C">
            <w:pPr>
              <w:spacing w:after="0" w:line="240" w:lineRule="auto"/>
              <w:ind w:right="113"/>
              <w:rPr>
                <w:rFonts w:cstheme="minorHAnsi"/>
                <w:sz w:val="18"/>
                <w:szCs w:val="18"/>
              </w:rPr>
            </w:pPr>
            <w:r w:rsidRPr="009C616C">
              <w:rPr>
                <w:rFonts w:cstheme="minorHAnsi"/>
                <w:sz w:val="18"/>
                <w:szCs w:val="18"/>
              </w:rPr>
              <w:t xml:space="preserve">Identify and </w:t>
            </w:r>
            <w:proofErr w:type="spellStart"/>
            <w:r w:rsidRPr="009C616C">
              <w:rPr>
                <w:rFonts w:cstheme="minorHAnsi"/>
                <w:sz w:val="18"/>
                <w:szCs w:val="18"/>
              </w:rPr>
              <w:t>analyse</w:t>
            </w:r>
            <w:proofErr w:type="spellEnd"/>
            <w:r w:rsidRPr="009C616C">
              <w:rPr>
                <w:rFonts w:cstheme="minorHAnsi"/>
                <w:sz w:val="18"/>
                <w:szCs w:val="18"/>
              </w:rPr>
              <w:t xml:space="preserve"> the role of visuals to support and enhance argument.</w:t>
            </w:r>
          </w:p>
        </w:tc>
        <w:tc>
          <w:tcPr>
            <w:tcW w:w="2199" w:type="dxa"/>
          </w:tcPr>
          <w:p w14:paraId="592F6B87" w14:textId="77777777" w:rsidR="009C616C" w:rsidRPr="009C616C" w:rsidRDefault="009C616C" w:rsidP="009C616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C616C">
              <w:rPr>
                <w:rFonts w:cstheme="minorHAnsi"/>
                <w:sz w:val="18"/>
                <w:szCs w:val="18"/>
              </w:rPr>
              <w:t>Refers to visual(s) in response.</w:t>
            </w:r>
          </w:p>
        </w:tc>
        <w:tc>
          <w:tcPr>
            <w:tcW w:w="2199" w:type="dxa"/>
          </w:tcPr>
          <w:p w14:paraId="0B3CF130" w14:textId="77777777" w:rsidR="009C616C" w:rsidRPr="009C616C" w:rsidRDefault="009C616C" w:rsidP="009C616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C616C">
              <w:rPr>
                <w:rFonts w:cstheme="minorHAnsi"/>
                <w:sz w:val="18"/>
                <w:szCs w:val="18"/>
              </w:rPr>
              <w:t>Describes techniques associated visual(s).</w:t>
            </w:r>
          </w:p>
        </w:tc>
        <w:tc>
          <w:tcPr>
            <w:tcW w:w="2203" w:type="dxa"/>
          </w:tcPr>
          <w:p w14:paraId="3BFD7B6E" w14:textId="77777777" w:rsidR="009C616C" w:rsidRPr="009C616C" w:rsidRDefault="009C616C" w:rsidP="009C616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C616C">
              <w:rPr>
                <w:rFonts w:cstheme="minorHAnsi"/>
                <w:sz w:val="18"/>
                <w:szCs w:val="18"/>
              </w:rPr>
              <w:t>Explores examples of visual(s) with reference to persuasive intent.</w:t>
            </w:r>
          </w:p>
        </w:tc>
        <w:tc>
          <w:tcPr>
            <w:tcW w:w="2203" w:type="dxa"/>
          </w:tcPr>
          <w:p w14:paraId="0674FF42" w14:textId="77777777" w:rsidR="009C616C" w:rsidRPr="009C616C" w:rsidRDefault="009C616C" w:rsidP="009C616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C616C">
              <w:rPr>
                <w:rFonts w:cstheme="minorHAnsi"/>
                <w:sz w:val="18"/>
                <w:szCs w:val="18"/>
              </w:rPr>
              <w:t>Explains patterns of visual(s) and considers how the author is using these for persuasive effect.</w:t>
            </w:r>
          </w:p>
        </w:tc>
        <w:tc>
          <w:tcPr>
            <w:tcW w:w="2776" w:type="dxa"/>
          </w:tcPr>
          <w:p w14:paraId="517147B7" w14:textId="77777777" w:rsidR="009C616C" w:rsidRPr="009C616C" w:rsidRDefault="009C616C" w:rsidP="009C616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C616C">
              <w:rPr>
                <w:rFonts w:cstheme="minorHAnsi"/>
                <w:sz w:val="18"/>
                <w:szCs w:val="18"/>
              </w:rPr>
              <w:t>Examines subtle connections between visual(s) and the implications of these features in relation to persuading the intended audience.</w:t>
            </w:r>
          </w:p>
        </w:tc>
      </w:tr>
      <w:tr w:rsidR="009C616C" w:rsidRPr="009C616C" w14:paraId="216AFE0A" w14:textId="77777777" w:rsidTr="009C616C">
        <w:trPr>
          <w:cantSplit/>
          <w:trHeight w:val="1134"/>
        </w:trPr>
        <w:tc>
          <w:tcPr>
            <w:tcW w:w="1946" w:type="dxa"/>
            <w:vMerge/>
            <w:vAlign w:val="center"/>
          </w:tcPr>
          <w:p w14:paraId="7F1E4C99" w14:textId="77777777" w:rsidR="009C616C" w:rsidRPr="009C616C" w:rsidRDefault="009C616C" w:rsidP="009C616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04" w:type="dxa"/>
            <w:shd w:val="clear" w:color="auto" w:fill="auto"/>
          </w:tcPr>
          <w:p w14:paraId="486D73C2" w14:textId="77777777" w:rsidR="009C616C" w:rsidRPr="009C616C" w:rsidRDefault="009C616C" w:rsidP="009C616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C616C">
              <w:rPr>
                <w:rFonts w:cstheme="minorHAnsi"/>
                <w:sz w:val="18"/>
                <w:szCs w:val="18"/>
              </w:rPr>
              <w:t xml:space="preserve">Plan, review, edit and refine analytical </w:t>
            </w:r>
            <w:proofErr w:type="gramStart"/>
            <w:r w:rsidRPr="009C616C">
              <w:rPr>
                <w:rFonts w:cstheme="minorHAnsi"/>
                <w:sz w:val="18"/>
                <w:szCs w:val="18"/>
              </w:rPr>
              <w:t>responses</w:t>
            </w:r>
            <w:proofErr w:type="gramEnd"/>
          </w:p>
          <w:p w14:paraId="29FEB2B8" w14:textId="77777777" w:rsidR="009C616C" w:rsidRPr="009C616C" w:rsidRDefault="009C616C" w:rsidP="009C616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C616C">
              <w:rPr>
                <w:rFonts w:cstheme="minorHAnsi"/>
                <w:sz w:val="18"/>
                <w:szCs w:val="18"/>
              </w:rPr>
              <w:t>Apply relevant metalanguage.</w:t>
            </w:r>
          </w:p>
        </w:tc>
        <w:tc>
          <w:tcPr>
            <w:tcW w:w="2199" w:type="dxa"/>
          </w:tcPr>
          <w:p w14:paraId="2B1AFD22" w14:textId="77777777" w:rsidR="009C616C" w:rsidRPr="009C616C" w:rsidRDefault="009C616C" w:rsidP="009C616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C616C">
              <w:rPr>
                <w:rFonts w:cstheme="minorHAnsi"/>
                <w:sz w:val="18"/>
                <w:szCs w:val="18"/>
              </w:rPr>
              <w:t>Uses paraphrase to structure the response.</w:t>
            </w:r>
          </w:p>
          <w:p w14:paraId="456DD559" w14:textId="77777777" w:rsidR="009C616C" w:rsidRPr="009C616C" w:rsidRDefault="009C616C" w:rsidP="009C616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C616C">
              <w:rPr>
                <w:rFonts w:cstheme="minorHAnsi"/>
                <w:sz w:val="18"/>
                <w:szCs w:val="18"/>
              </w:rPr>
              <w:t xml:space="preserve">Uses language that refers to the text(s) and/or </w:t>
            </w:r>
            <w:proofErr w:type="spellStart"/>
            <w:r w:rsidRPr="009C616C">
              <w:rPr>
                <w:rFonts w:cstheme="minorHAnsi"/>
                <w:sz w:val="18"/>
                <w:szCs w:val="18"/>
              </w:rPr>
              <w:t>summarises</w:t>
            </w:r>
            <w:proofErr w:type="spellEnd"/>
            <w:r w:rsidRPr="009C616C">
              <w:rPr>
                <w:rFonts w:cstheme="minorHAnsi"/>
                <w:sz w:val="18"/>
                <w:szCs w:val="18"/>
              </w:rPr>
              <w:t xml:space="preserve"> ideas in text.</w:t>
            </w:r>
          </w:p>
        </w:tc>
        <w:tc>
          <w:tcPr>
            <w:tcW w:w="2199" w:type="dxa"/>
          </w:tcPr>
          <w:p w14:paraId="219E8290" w14:textId="77777777" w:rsidR="009C616C" w:rsidRPr="009C616C" w:rsidRDefault="009C616C" w:rsidP="009C616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C616C">
              <w:rPr>
                <w:rFonts w:cstheme="minorHAnsi"/>
                <w:sz w:val="18"/>
                <w:szCs w:val="18"/>
              </w:rPr>
              <w:t>Uses a generic paragraph structure to support a summary of the text(s).</w:t>
            </w:r>
          </w:p>
          <w:p w14:paraId="59038FE0" w14:textId="77777777" w:rsidR="009C616C" w:rsidRPr="009C616C" w:rsidRDefault="009C616C" w:rsidP="009C616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C616C">
              <w:rPr>
                <w:rFonts w:cstheme="minorHAnsi"/>
                <w:sz w:val="18"/>
                <w:szCs w:val="18"/>
              </w:rPr>
              <w:t>Uses generic language to describe persuasive intent.</w:t>
            </w:r>
          </w:p>
        </w:tc>
        <w:tc>
          <w:tcPr>
            <w:tcW w:w="2203" w:type="dxa"/>
          </w:tcPr>
          <w:p w14:paraId="78B35BBD" w14:textId="77777777" w:rsidR="009C616C" w:rsidRPr="009C616C" w:rsidRDefault="009C616C" w:rsidP="009C616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C616C">
              <w:rPr>
                <w:rFonts w:cstheme="minorHAnsi"/>
                <w:sz w:val="18"/>
                <w:szCs w:val="18"/>
              </w:rPr>
              <w:t>Develops cohesive paragraphs to explore a discussion of the text(s).</w:t>
            </w:r>
          </w:p>
          <w:p w14:paraId="13D359EC" w14:textId="77777777" w:rsidR="009C616C" w:rsidRPr="009C616C" w:rsidRDefault="009C616C" w:rsidP="009C616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C616C">
              <w:rPr>
                <w:rFonts w:cstheme="minorHAnsi"/>
                <w:sz w:val="18"/>
                <w:szCs w:val="18"/>
              </w:rPr>
              <w:t>Uses appropriate language and metalanguage to explore persuasive intent.</w:t>
            </w:r>
          </w:p>
        </w:tc>
        <w:tc>
          <w:tcPr>
            <w:tcW w:w="2203" w:type="dxa"/>
          </w:tcPr>
          <w:p w14:paraId="2E2D7ABE" w14:textId="77777777" w:rsidR="009C616C" w:rsidRPr="009C616C" w:rsidRDefault="009C616C" w:rsidP="009C616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C616C">
              <w:rPr>
                <w:rFonts w:cstheme="minorHAnsi"/>
                <w:sz w:val="18"/>
                <w:szCs w:val="18"/>
              </w:rPr>
              <w:t>Creates an exposition, with coherent and cohesive paragraphing, to explain how sequenced arguments impact an intended audience.</w:t>
            </w:r>
          </w:p>
          <w:p w14:paraId="21CA93DB" w14:textId="77777777" w:rsidR="009C616C" w:rsidRPr="009C616C" w:rsidRDefault="009C616C" w:rsidP="009C616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C616C">
              <w:rPr>
                <w:rFonts w:cstheme="minorHAnsi"/>
                <w:sz w:val="18"/>
                <w:szCs w:val="18"/>
              </w:rPr>
              <w:t>Employs precise and appropriate language and accurate metalanguage to explain how a text is designed to persuade an audience.</w:t>
            </w:r>
          </w:p>
        </w:tc>
        <w:tc>
          <w:tcPr>
            <w:tcW w:w="2776" w:type="dxa"/>
          </w:tcPr>
          <w:p w14:paraId="73970150" w14:textId="77777777" w:rsidR="009C616C" w:rsidRPr="009C616C" w:rsidRDefault="009C616C" w:rsidP="009C616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C616C">
              <w:rPr>
                <w:rFonts w:cstheme="minorHAnsi"/>
                <w:sz w:val="18"/>
                <w:szCs w:val="18"/>
              </w:rPr>
              <w:t xml:space="preserve">Composes a complex exposition that examines </w:t>
            </w:r>
            <w:r w:rsidRPr="009C616C">
              <w:rPr>
                <w:rFonts w:cstheme="minorHAnsi"/>
                <w:strike/>
                <w:sz w:val="18"/>
                <w:szCs w:val="18"/>
              </w:rPr>
              <w:t>a</w:t>
            </w:r>
            <w:r w:rsidRPr="009C616C">
              <w:rPr>
                <w:rFonts w:cstheme="minorHAnsi"/>
                <w:sz w:val="18"/>
                <w:szCs w:val="18"/>
              </w:rPr>
              <w:t>nd clarifies how the author is guiding the intended audience to a position by use of strategic sequencing of argument.</w:t>
            </w:r>
          </w:p>
          <w:p w14:paraId="031A4238" w14:textId="77777777" w:rsidR="009C616C" w:rsidRPr="009C616C" w:rsidRDefault="009C616C" w:rsidP="009C616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C616C">
              <w:rPr>
                <w:rFonts w:cstheme="minorHAnsi"/>
                <w:sz w:val="18"/>
                <w:szCs w:val="18"/>
              </w:rPr>
              <w:t>Creates a fluent response using appropriate language and precise metalanguage to examine the text’s persuasive intent.</w:t>
            </w:r>
          </w:p>
        </w:tc>
      </w:tr>
    </w:tbl>
    <w:p w14:paraId="78C29F18" w14:textId="77777777" w:rsidR="00C24857" w:rsidRPr="009C616C" w:rsidRDefault="00C24857" w:rsidP="009C616C">
      <w:pPr>
        <w:spacing w:after="0" w:line="240" w:lineRule="auto"/>
        <w:rPr>
          <w:rFonts w:cstheme="minorHAnsi"/>
          <w:sz w:val="18"/>
          <w:szCs w:val="18"/>
        </w:rPr>
      </w:pPr>
    </w:p>
    <w:sectPr w:rsidR="00C24857" w:rsidRPr="009C616C" w:rsidSect="009C616C">
      <w:pgSz w:w="16838" w:h="11906" w:orient="landscape"/>
      <w:pgMar w:top="568" w:right="962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95D7B"/>
    <w:multiLevelType w:val="hybridMultilevel"/>
    <w:tmpl w:val="55A64B74"/>
    <w:lvl w:ilvl="0" w:tplc="28A0E074">
      <w:start w:val="1"/>
      <w:numFmt w:val="bullet"/>
      <w:pStyle w:val="VCAAtablecondensed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9688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16C"/>
    <w:rsid w:val="009C616C"/>
    <w:rsid w:val="00C2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FB085"/>
  <w15:chartTrackingRefBased/>
  <w15:docId w15:val="{83DCD4C3-CE5A-49A7-8106-5F87A6E60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616C"/>
    <w:pPr>
      <w:spacing w:after="200" w:line="276" w:lineRule="auto"/>
    </w:pPr>
    <w:rPr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616C"/>
    <w:pPr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bullet">
    <w:name w:val="VCAA bullet"/>
    <w:basedOn w:val="Normal"/>
    <w:autoRedefine/>
    <w:qFormat/>
    <w:rsid w:val="009C616C"/>
    <w:pPr>
      <w:tabs>
        <w:tab w:val="left" w:pos="425"/>
      </w:tabs>
      <w:spacing w:before="120" w:after="0" w:line="240" w:lineRule="auto"/>
      <w:contextualSpacing/>
    </w:pPr>
    <w:rPr>
      <w:rFonts w:ascii="Arial Narrow" w:eastAsia="Times New Roman" w:hAnsi="Arial Narrow" w:cs="Arial"/>
      <w:color w:val="000000" w:themeColor="text1"/>
      <w:kern w:val="22"/>
      <w:sz w:val="20"/>
      <w:lang w:val="en-GB" w:eastAsia="ja-JP"/>
    </w:rPr>
  </w:style>
  <w:style w:type="paragraph" w:customStyle="1" w:styleId="VCAAtablecondensedbullet">
    <w:name w:val="VCAA table condensed bullet"/>
    <w:basedOn w:val="Normal"/>
    <w:qFormat/>
    <w:rsid w:val="009C616C"/>
    <w:pPr>
      <w:numPr>
        <w:numId w:val="1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608</Words>
  <Characters>3471</Characters>
  <Application>Microsoft Office Word</Application>
  <DocSecurity>0</DocSecurity>
  <Lines>28</Lines>
  <Paragraphs>8</Paragraphs>
  <ScaleCrop>false</ScaleCrop>
  <Company/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Todaro</dc:creator>
  <cp:keywords/>
  <dc:description/>
  <cp:lastModifiedBy>Lisa Todaro</cp:lastModifiedBy>
  <cp:revision>1</cp:revision>
  <dcterms:created xsi:type="dcterms:W3CDTF">2023-10-19T01:29:00Z</dcterms:created>
  <dcterms:modified xsi:type="dcterms:W3CDTF">2023-10-19T01:33:00Z</dcterms:modified>
</cp:coreProperties>
</file>